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5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 w:line="560" w:lineRule="atLeast"/>
        <w:ind w:left="0" w:right="0" w:firstLine="0"/>
        <w:jc w:val="both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6"/>
          <w:szCs w:val="36"/>
        </w:rPr>
      </w:pP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附件1：</w:t>
      </w:r>
      <w:r>
        <w:rPr>
          <w:rFonts w:hint="eastAsia" w:ascii="Segoe UI" w:hAnsi="Segoe UI" w:cs="Segoe UI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cs="Segoe UI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 xml:space="preserve">                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医患沟通技能大赛报名表</w:t>
      </w:r>
    </w:p>
    <w:p w14:paraId="1A0A0E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560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参赛单位（盖章）：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填表日期：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2026年____月____日</w:t>
      </w:r>
    </w:p>
    <w:tbl>
      <w:tblPr>
        <w:tblStyle w:val="6"/>
        <w:tblW w:w="13541" w:type="dxa"/>
        <w:tblInd w:w="5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11656"/>
      </w:tblGrid>
      <w:tr w14:paraId="1DDC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Header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2FDC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1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343A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</w:tr>
      <w:tr w14:paraId="49D5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64A6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队伍名称</w:t>
            </w:r>
          </w:p>
        </w:tc>
        <w:tc>
          <w:tcPr>
            <w:tcW w:w="1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7CFA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（例如：XX医院“和谐沟通队”）</w:t>
            </w:r>
          </w:p>
        </w:tc>
      </w:tr>
      <w:tr w14:paraId="049F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1EA4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所属单位</w:t>
            </w:r>
          </w:p>
        </w:tc>
        <w:tc>
          <w:tcPr>
            <w:tcW w:w="1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5620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医院全称（与公章一致）</w:t>
            </w:r>
          </w:p>
        </w:tc>
      </w:tr>
      <w:tr w14:paraId="52D2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47A8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单位等级</w:t>
            </w:r>
          </w:p>
        </w:tc>
        <w:tc>
          <w:tcPr>
            <w:tcW w:w="1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71B3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 三级医院 □ 二级医院 □ 一级医院 □ 基层医疗机构 □ 其他（请注明）______</w:t>
            </w:r>
          </w:p>
        </w:tc>
      </w:tr>
      <w:tr w14:paraId="5C64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77E2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089B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姓名：____________ 职务：____________ 手机：____________</w:t>
            </w:r>
          </w:p>
        </w:tc>
      </w:tr>
      <w:tr w14:paraId="07C4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36FA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302A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_________________________ （用于接收大赛通知）</w:t>
            </w:r>
          </w:p>
        </w:tc>
      </w:tr>
      <w:tr w14:paraId="5A46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1D84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过往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类似的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参赛成绩与经验</w:t>
            </w:r>
          </w:p>
        </w:tc>
        <w:tc>
          <w:tcPr>
            <w:tcW w:w="1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7B32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sz w:val="21"/>
                <w:szCs w:val="21"/>
              </w:rPr>
            </w:pPr>
          </w:p>
        </w:tc>
      </w:tr>
    </w:tbl>
    <w:p w14:paraId="1709A860"/>
    <w:p w14:paraId="2803A7CD">
      <w:pPr>
        <w:sectPr>
          <w:pgSz w:w="16838" w:h="11906" w:orient="landscape"/>
          <w:pgMar w:top="1600" w:right="1440" w:bottom="1800" w:left="1440" w:header="851" w:footer="992" w:gutter="0"/>
          <w:cols w:space="425" w:num="1"/>
          <w:docGrid w:type="lines" w:linePitch="312" w:charSpace="0"/>
        </w:sectPr>
      </w:pPr>
    </w:p>
    <w:p w14:paraId="6F1BB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</w:t>
      </w:r>
    </w:p>
    <w:p w14:paraId="71DA9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全省医患沟通技能大赛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活动方案</w:t>
      </w:r>
    </w:p>
    <w:p w14:paraId="69851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一、活动背景与目的</w:t>
      </w:r>
    </w:p>
    <w:p w14:paraId="36F997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为提升全省医疗机构医患沟通能力，构建和谐医患关系，广东省医院协会维权自律与医患关系管理工作委员会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拟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举办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第一届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全省性的医患沟通技能大赛。本次大赛旨在通过实践演练，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提高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医护人员的沟通技巧，提高医疗服务质量。</w:t>
      </w:r>
    </w:p>
    <w:p w14:paraId="4930D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二、活动主题</w:t>
      </w:r>
    </w:p>
    <w:p w14:paraId="6E71B3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“沟通促和谐，专业护权益”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——聚焦医患沟通实战技能与纠纷化解能力。</w:t>
      </w:r>
    </w:p>
    <w:p w14:paraId="3B9707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、组织架构</w:t>
      </w:r>
    </w:p>
    <w:p w14:paraId="6B8084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主办单位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：广东省医院协会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 w14:paraId="32A9FD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643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承办单位：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广东省医院协会维权自律与医患关系管理工作委员会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</w:p>
    <w:p w14:paraId="6E1A47C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协办单位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：广东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和谐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患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纠纷人民调解委员会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广州市和谐医患关系研究中心；</w:t>
      </w:r>
    </w:p>
    <w:p w14:paraId="5F858BF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评审团队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：由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省医院协会领导、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医疗法律专家、资深调解员、媒体代表等组成。</w:t>
      </w:r>
    </w:p>
    <w:p w14:paraId="0391F4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200" w:right="0" w:righ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四、活动对象</w:t>
      </w:r>
    </w:p>
    <w:p w14:paraId="74F4A4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本次大赛面向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全省各级医疗机构，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尤其鼓励临床医生与护理人员参与。</w:t>
      </w:r>
    </w:p>
    <w:p w14:paraId="50924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竞赛内容设计</w:t>
      </w:r>
    </w:p>
    <w:p w14:paraId="5BAD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1.核心环节：医患沟通情景模拟，覆盖门诊接诊、病情告知、治疗方案说明、患者情绪管理等关键环节，全面考验参赛者的沟通技巧。</w:t>
      </w:r>
    </w:p>
    <w:p w14:paraId="21A7B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创新元素：（1）引入“真实患者”视角，由具有丰富医疗纠纷处理经验的医调委调解员扮演，增加模拟的真实感与挑战性；（2）设立“突发状况应对”环节，考验参赛者在复杂情境下的应变与沟通能力；3.互动环节：增设观众提问与评委即时反馈环节，增强现场互动，提升竞赛的观赏性与教育意义。</w:t>
      </w:r>
    </w:p>
    <w:p w14:paraId="6E6B0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六、竞赛流程</w:t>
      </w:r>
    </w:p>
    <w:p w14:paraId="745CA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1.报名阶段：3月31日前在线提交报名表，参赛医院各科室至少推荐1名参赛者，鼓励自荐；</w:t>
      </w:r>
    </w:p>
    <w:p w14:paraId="78242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2.分组抽签：各医院根据报名情况，进行情景模拟分组抽签；</w:t>
      </w:r>
    </w:p>
    <w:p w14:paraId="748BB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3.内部培训：当地医调委组织专业培训，涵盖沟通技巧、同理心培养、情绪管理等；</w:t>
      </w:r>
    </w:p>
    <w:p w14:paraId="29939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4.内部选拔：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地市参赛医疗机构需首先在院内自主完成第一赛段内部选拔比赛，各地协办单位（医调委）根据比赛结果，推选1支队伍报送主办单位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86C4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D0D0D" w:themeColor="text1" w:themeTint="F2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D0D0D" w:themeColor="text1" w:themeTint="F2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5.现场展演：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根据报名参赛情况进行择优选拔，届时在主办方2026学术年会上进行优秀案例展示</w:t>
      </w:r>
      <w:r>
        <w:rPr>
          <w:rFonts w:hint="eastAsia" w:ascii="仿宋" w:hAnsi="仿宋" w:eastAsia="仿宋" w:cs="仿宋"/>
          <w:b w:val="0"/>
          <w:bCs w:val="0"/>
          <w:color w:val="0D0D0D" w:themeColor="text1" w:themeTint="F2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；展示案例由主办单位、协办单位共同设计，并由协办单位安排具有丰富医疗纠纷调解经验的调解员扮演“患者”参与展演和互动。</w:t>
      </w:r>
    </w:p>
    <w:p w14:paraId="4C5CD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D0D0D" w:themeColor="text1" w:themeTint="F2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评分及颁奖：</w:t>
      </w:r>
      <w:r>
        <w:rPr>
          <w:rFonts w:hint="eastAsia" w:ascii="仿宋" w:hAnsi="仿宋" w:eastAsia="仿宋" w:cs="仿宋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现场展演将安排评委团根据决赛队伍表现进行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现场打分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最终根据综合得分决出优胜队伍，并进行颁奖。</w:t>
      </w:r>
    </w:p>
    <w:p w14:paraId="67F59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七、奖项设置</w:t>
      </w:r>
    </w:p>
    <w:p w14:paraId="5A36F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评选出一、二、三等奖和优秀组织奖，颁发荣誉证书，在2026年学术年会上进行颁奖。</w:t>
      </w:r>
    </w:p>
    <w:p w14:paraId="73C25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八、总结</w:t>
      </w:r>
    </w:p>
    <w:p w14:paraId="521BA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竞赛不仅检验医务人员的沟通能力，更促进医院人文关怀与服务质量的提升。期待以此为契机，激发沟通热情，构建和谐医患关系，为医院高质量发展贡献力量。未来，我们将持续优化医患沟通机制，让每位患者感受到医院的温暖与关怀。</w:t>
      </w:r>
    </w:p>
    <w:p w14:paraId="4A54CA7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328FEB6"/>
    <w:p w14:paraId="21CBF1C3"/>
    <w:p w14:paraId="734F1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</w:p>
    <w:p w14:paraId="017AC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Style w:val="9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附件3：</w:t>
      </w:r>
    </w:p>
    <w:p w14:paraId="69856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</w:rPr>
        <w:t>全省医患沟通技能大赛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选手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评分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表</w:t>
      </w:r>
    </w:p>
    <w:p w14:paraId="083DAC43">
      <w:pPr>
        <w:pStyle w:val="10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320" w:lineRule="exact"/>
        <w:ind w:firstLine="0" w:firstLineChars="0"/>
        <w:jc w:val="both"/>
        <w:textAlignment w:val="baseline"/>
        <w:rPr>
          <w:rFonts w:hint="default" w:ascii="黑体" w:hAnsi="黑体" w:eastAsia="黑体" w:cs="黑体"/>
          <w:i w:val="0"/>
          <w:iCs w:val="0"/>
          <w:caps w:val="0"/>
          <w:color w:val="auto"/>
          <w:spacing w:val="4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4"/>
          <w:sz w:val="24"/>
          <w:szCs w:val="24"/>
          <w:shd w:val="clear" w:fill="FFFFFF"/>
          <w:lang w:val="en-US" w:eastAsia="zh-CN"/>
        </w:rPr>
        <w:t xml:space="preserve">姓名：                           </w:t>
      </w:r>
    </w:p>
    <w:tbl>
      <w:tblPr>
        <w:tblStyle w:val="7"/>
        <w:tblW w:w="11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272"/>
        <w:gridCol w:w="875"/>
        <w:gridCol w:w="860"/>
      </w:tblGrid>
      <w:tr w14:paraId="0622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2261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评价</w:t>
            </w:r>
          </w:p>
          <w:p w14:paraId="4705C7EF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项目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2AAE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评分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标准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356B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满分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BE43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得分</w:t>
            </w:r>
          </w:p>
        </w:tc>
      </w:tr>
      <w:tr w14:paraId="4EDA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DDEB8">
            <w:pPr>
              <w:widowControl w:val="0"/>
              <w:spacing w:line="320" w:lineRule="exact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医学知识</w:t>
            </w:r>
          </w:p>
          <w:p w14:paraId="2B06F558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与应用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D754">
            <w:pPr>
              <w:pStyle w:val="10"/>
              <w:widowControl w:val="0"/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基础知识掌握：对医学基础知识的了解程度。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53299FD9">
            <w:pPr>
              <w:pStyle w:val="10"/>
              <w:widowControl w:val="0"/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专业知识运用：将专业知识应用于实际沟通的能力。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C1C30">
            <w:pPr>
              <w:widowControl w:val="0"/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3448B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</w:tc>
      </w:tr>
      <w:tr w14:paraId="7F63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614B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沟通技巧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7BA69">
            <w:pPr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清晰度：语言表达是否清晰易懂。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71DE5D56">
            <w:pPr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逻辑性：沟通内容是否条理清晰，逻辑连贯。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29D763A3">
            <w:pPr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有效性：信息传递是否有效，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与患者建立关系。（5分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47D0CE89">
            <w:pPr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反馈技巧：对患者反馈的响应是否恰当。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7C662304">
            <w:pPr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非语言沟通：肢体语言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、面部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表情等非语言沟通方式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使用。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3FBCA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C470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</w:tc>
      </w:tr>
      <w:tr w14:paraId="29F6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CA03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服务态度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51ED">
            <w:pPr>
              <w:pStyle w:val="10"/>
              <w:widowControl w:val="0"/>
              <w:numPr>
                <w:ilvl w:val="0"/>
                <w:numId w:val="2"/>
              </w:numPr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热情度：服务态度是否热情、友好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积极肯定患者谈话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5BF74B27">
            <w:pPr>
              <w:pStyle w:val="10"/>
              <w:widowControl w:val="0"/>
              <w:numPr>
                <w:ilvl w:val="0"/>
                <w:numId w:val="2"/>
              </w:numPr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耐心度：在患者提问或表达疑虑时是否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能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耐心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解释问题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6F4EF7A8">
            <w:pPr>
              <w:pStyle w:val="10"/>
              <w:widowControl w:val="0"/>
              <w:numPr>
                <w:ilvl w:val="0"/>
                <w:numId w:val="2"/>
              </w:numPr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诚信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度：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auto"/>
                <w:spacing w:val="4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是否诚实地与患者沟通医疗信息，取得其知情同意。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107F996D">
            <w:pPr>
              <w:pStyle w:val="10"/>
              <w:widowControl w:val="0"/>
              <w:numPr>
                <w:ilvl w:val="0"/>
                <w:numId w:val="2"/>
              </w:numPr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同理心：是否能够站在患者的角度考虑问题。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264D">
            <w:pPr>
              <w:widowControl w:val="0"/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F5D9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</w:tc>
      </w:tr>
      <w:tr w14:paraId="5EC8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7575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专业精神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B7AF">
            <w:pPr>
              <w:pStyle w:val="10"/>
              <w:widowControl w:val="0"/>
              <w:numPr>
                <w:ilvl w:val="0"/>
                <w:numId w:val="3"/>
              </w:numPr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责任感：是否展现对患者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负责态度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共同制定诊疗计划。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67C8C493">
            <w:pPr>
              <w:pStyle w:val="10"/>
              <w:widowControl w:val="0"/>
              <w:numPr>
                <w:ilvl w:val="0"/>
                <w:numId w:val="3"/>
              </w:numPr>
              <w:spacing w:line="320" w:lineRule="exact"/>
              <w:ind w:firstLine="0" w:firstLine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专业形象：是否保持专业的形象和行为。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E4E6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15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78DF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</w:tc>
      </w:tr>
      <w:tr w14:paraId="731F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F266">
            <w:pPr>
              <w:widowControl w:val="0"/>
              <w:spacing w:line="320" w:lineRule="exact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情景模拟</w:t>
            </w:r>
          </w:p>
          <w:p w14:paraId="4D26AC48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表现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C7AC">
            <w:pPr>
              <w:widowControl w:val="0"/>
              <w:numPr>
                <w:ilvl w:val="0"/>
                <w:numId w:val="4"/>
              </w:numPr>
              <w:spacing w:line="32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问题解决：面对问题时的解决策略和效果。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67639023">
            <w:pPr>
              <w:widowControl w:val="0"/>
              <w:numPr>
                <w:ilvl w:val="0"/>
                <w:numId w:val="4"/>
              </w:numPr>
              <w:spacing w:line="32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情绪管理：在压力或情绪化情境下的情绪控制能力。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C0F0">
            <w:pPr>
              <w:widowControl w:val="0"/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E48F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</w:tc>
      </w:tr>
      <w:tr w14:paraId="7442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52F4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创新与应变能力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FC52">
            <w:pPr>
              <w:widowControl w:val="0"/>
              <w:numPr>
                <w:ilvl w:val="0"/>
                <w:numId w:val="5"/>
              </w:numPr>
              <w:spacing w:line="32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创新性：在沟通中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展现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创新思维和方法。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0C68E91B">
            <w:pPr>
              <w:widowControl w:val="0"/>
              <w:numPr>
                <w:ilvl w:val="0"/>
                <w:numId w:val="5"/>
              </w:numPr>
              <w:spacing w:line="32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  <w:t>应变能力：面对突发情况的应变和处理能力。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5分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E61B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8021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</w:tc>
      </w:tr>
      <w:tr w14:paraId="25D9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699">
            <w:pPr>
              <w:widowControl w:val="0"/>
              <w:spacing w:line="320" w:lineRule="exact"/>
              <w:jc w:val="center"/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  <w:lang w:val="en-US" w:eastAsia="zh-CN"/>
              </w:rPr>
              <w:t>总分</w:t>
            </w:r>
          </w:p>
        </w:tc>
        <w:tc>
          <w:tcPr>
            <w:tcW w:w="8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9756"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shd w:val="clear" w:fill="FFFFFF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ACCA">
            <w:pPr>
              <w:widowControl w:val="0"/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913D">
            <w:pPr>
              <w:widowControl w:val="0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</w:p>
        </w:tc>
      </w:tr>
    </w:tbl>
    <w:p w14:paraId="30F4D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附件4：</w:t>
      </w:r>
    </w:p>
    <w:p w14:paraId="0FFBB094">
      <w:pPr>
        <w:spacing w:line="460" w:lineRule="exact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全省医患沟通大赛专项工作小组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名单</w:t>
      </w:r>
    </w:p>
    <w:p w14:paraId="61BC0B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196D2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  辉 广东省医院协会副秘书长、广东和谐医患纠纷人民调解委员会主任；</w:t>
      </w:r>
    </w:p>
    <w:p w14:paraId="0D2CC7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王鹏飞 广东省医院协会维权自律与医患关系管理工作委员会主任委员；</w:t>
      </w:r>
    </w:p>
    <w:p w14:paraId="78255B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黄  敏 广东和谐医患纠纷人民调解委员会常务副主任；</w:t>
      </w:r>
    </w:p>
    <w:p w14:paraId="625C50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丘  成 中山医科大学附属第一医院医务处副处长；</w:t>
      </w:r>
    </w:p>
    <w:p w14:paraId="72AC1E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刘玉莹 广东省第二人民医院增城医院副院长；</w:t>
      </w:r>
    </w:p>
    <w:p w14:paraId="061A95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于  宏 广州市第一人民医院医务科科长；</w:t>
      </w:r>
    </w:p>
    <w:p w14:paraId="3269BB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刘晓绛 广州医科大学附属第三医院医务科副科长；</w:t>
      </w:r>
    </w:p>
    <w:p w14:paraId="74DD86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周  路 肇庆市第一人民医院医疗总监；</w:t>
      </w:r>
    </w:p>
    <w:p w14:paraId="64A046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张相国 粤北人民医院医务科副科长；</w:t>
      </w:r>
    </w:p>
    <w:p w14:paraId="4BE15C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卢正山 广州市和谐医患关系研究中心专家；</w:t>
      </w:r>
    </w:p>
    <w:p w14:paraId="5925F9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  涛 广东省医院协会维权自律与医患关系管理工作委员会秘书。</w:t>
      </w:r>
    </w:p>
    <w:p w14:paraId="2DBBAA53"/>
    <w:p w14:paraId="59D1FB7D"/>
    <w:sectPr>
      <w:footerReference r:id="rId3" w:type="default"/>
      <w:pgSz w:w="11906" w:h="16838"/>
      <w:pgMar w:top="2098" w:right="1417" w:bottom="1417" w:left="1417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AB38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D73FA"/>
    <w:multiLevelType w:val="singleLevel"/>
    <w:tmpl w:val="D16D73F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363D05D"/>
    <w:multiLevelType w:val="singleLevel"/>
    <w:tmpl w:val="D363D05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FCC8262"/>
    <w:multiLevelType w:val="singleLevel"/>
    <w:tmpl w:val="EFCC826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130690F"/>
    <w:multiLevelType w:val="singleLevel"/>
    <w:tmpl w:val="0130690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5E1E99D"/>
    <w:multiLevelType w:val="singleLevel"/>
    <w:tmpl w:val="35E1E99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D5FE2"/>
    <w:rsid w:val="1FB640EB"/>
    <w:rsid w:val="2F7B047E"/>
    <w:rsid w:val="42F0276F"/>
    <w:rsid w:val="465F11E2"/>
    <w:rsid w:val="478D6B48"/>
    <w:rsid w:val="4A495601"/>
    <w:rsid w:val="613D5FE2"/>
    <w:rsid w:val="620F6680"/>
    <w:rsid w:val="656E29F6"/>
    <w:rsid w:val="6AED1528"/>
    <w:rsid w:val="75A235D0"/>
    <w:rsid w:val="7683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3194</Words>
  <Characters>3375</Characters>
  <Lines>0</Lines>
  <Paragraphs>0</Paragraphs>
  <TotalTime>0</TotalTime>
  <ScaleCrop>false</ScaleCrop>
  <LinksUpToDate>false</LinksUpToDate>
  <CharactersWithSpaces>3508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2026-03-05T07:02:00Z</dcterms:created>
  <dc:creator>Mamami吖</dc:creator>
  <cp:lastModifiedBy>Mamami吖</cp:lastModifiedBy>
  <cp:lastPrinted>2026-03-05T09:08:00Z</cp:lastPrinted>
  <dcterms:modified xsi:type="dcterms:W3CDTF">2026-03-12T09:12:51Z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1AF0C7EC27844E809DD7F66E0E4B8225_11</vt:lpwstr>
  </property>
  <property fmtid="{D5CDD505-2E9C-101B-9397-08002B2CF9AE}" pid="4" name="KSOTemplateDocerSaveRecord">
    <vt:lpwstr>eyJoZGlkIjoiMGIwOTgzY2UzNzI5OTM5ZmRhODczMTkyM2IwOWY3NzYiLCJ1c2VySWQiOiI0ODUzMDA4ODYifQ==</vt:lpwstr>
  </property>
</Properties>
</file>